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10" w:rsidRDefault="000C5510" w:rsidP="000C5510">
      <w:pPr>
        <w:pStyle w:val="ListParagraph"/>
        <w:spacing w:after="0" w:line="240" w:lineRule="auto"/>
        <w:ind w:left="1418"/>
        <w:jc w:val="both"/>
        <w:rPr>
          <w:rFonts w:ascii="Century Gothic" w:hAnsi="Century Gothic"/>
          <w:lang w:val="en-GB"/>
        </w:rPr>
      </w:pPr>
      <w:bookmarkStart w:id="0" w:name="_GoBack"/>
      <w:bookmarkEnd w:id="0"/>
    </w:p>
    <w:p w:rsidR="0011462B" w:rsidRDefault="0011462B" w:rsidP="0011462B">
      <w:pPr>
        <w:spacing w:line="288" w:lineRule="auto"/>
        <w:ind w:left="2160" w:firstLine="720"/>
        <w:rPr>
          <w:rFonts w:ascii="Century Gothic" w:hAnsi="Century Gothic" w:cs="Arial"/>
          <w:szCs w:val="24"/>
        </w:rPr>
      </w:pPr>
      <w:bookmarkStart w:id="1" w:name="_Hlk14786655"/>
    </w:p>
    <w:p w:rsidR="0011462B" w:rsidRPr="008732A4" w:rsidRDefault="0011462B" w:rsidP="0011462B">
      <w:pPr>
        <w:spacing w:line="288" w:lineRule="auto"/>
        <w:ind w:left="2160" w:firstLine="720"/>
        <w:rPr>
          <w:rFonts w:ascii="Century Gothic" w:hAnsi="Century Gothic" w:cs="Arial"/>
          <w:szCs w:val="24"/>
        </w:rPr>
      </w:pPr>
      <w:r w:rsidRPr="008732A4">
        <w:rPr>
          <w:rFonts w:ascii="Century Gothic" w:hAnsi="Century Gothic" w:cs="Arial"/>
          <w:szCs w:val="24"/>
        </w:rPr>
        <w:t>Parliament of the Province of the Western Cape</w:t>
      </w:r>
    </w:p>
    <w:p w:rsidR="0011462B" w:rsidRPr="008732A4" w:rsidRDefault="0011462B" w:rsidP="0011462B">
      <w:pPr>
        <w:keepNext/>
        <w:tabs>
          <w:tab w:val="left" w:pos="0"/>
        </w:tabs>
        <w:suppressAutoHyphens/>
        <w:spacing w:line="288" w:lineRule="auto"/>
        <w:jc w:val="center"/>
        <w:outlineLvl w:val="4"/>
        <w:rPr>
          <w:rFonts w:ascii="Century Gothic" w:hAnsi="Century Gothic" w:cs="Arial"/>
          <w:szCs w:val="24"/>
          <w:lang w:val="en-GB"/>
        </w:rPr>
      </w:pPr>
      <w:r w:rsidRPr="008732A4">
        <w:rPr>
          <w:rFonts w:ascii="Century Gothic" w:hAnsi="Century Gothic" w:cs="Arial"/>
          <w:szCs w:val="24"/>
          <w:lang w:val="en-GB"/>
        </w:rPr>
        <w:t>FIRST SESSION, SIXTH PARLIAMENT</w:t>
      </w:r>
    </w:p>
    <w:p w:rsidR="0011462B" w:rsidRPr="008732A4" w:rsidRDefault="0011462B" w:rsidP="0011462B">
      <w:pPr>
        <w:spacing w:line="288" w:lineRule="auto"/>
        <w:jc w:val="center"/>
        <w:rPr>
          <w:rFonts w:ascii="Century Gothic" w:hAnsi="Century Gothic" w:cs="Arial"/>
          <w:szCs w:val="24"/>
        </w:rPr>
      </w:pPr>
      <w:r w:rsidRPr="008732A4">
        <w:rPr>
          <w:rFonts w:ascii="Century Gothic" w:hAnsi="Century Gothic" w:cs="Arial"/>
          <w:szCs w:val="24"/>
        </w:rPr>
        <w:t>Question Paper No 03- 2019</w:t>
      </w:r>
    </w:p>
    <w:p w:rsidR="0011462B" w:rsidRPr="008732A4" w:rsidRDefault="0011462B" w:rsidP="0011462B">
      <w:pPr>
        <w:spacing w:line="288" w:lineRule="auto"/>
        <w:jc w:val="center"/>
        <w:rPr>
          <w:rFonts w:ascii="Century Gothic" w:hAnsi="Century Gothic" w:cs="Arial"/>
          <w:szCs w:val="24"/>
          <w:lang w:val="en-GB"/>
        </w:rPr>
      </w:pPr>
      <w:r w:rsidRPr="008732A4">
        <w:rPr>
          <w:rFonts w:ascii="Century Gothic" w:hAnsi="Century Gothic" w:cs="Arial"/>
          <w:szCs w:val="24"/>
          <w:lang w:val="en-GB"/>
        </w:rPr>
        <w:t>Friday, 12 July 2019</w:t>
      </w:r>
    </w:p>
    <w:p w:rsidR="0011462B" w:rsidRPr="008732A4" w:rsidRDefault="0011462B" w:rsidP="0011462B">
      <w:pPr>
        <w:ind w:left="2880" w:firstLine="720"/>
        <w:rPr>
          <w:rFonts w:ascii="Century Gothic" w:hAnsi="Century Gothic" w:cs="Century Gothic"/>
          <w:b/>
          <w:bCs/>
          <w:szCs w:val="24"/>
        </w:rPr>
      </w:pPr>
      <w:r w:rsidRPr="008732A4">
        <w:rPr>
          <w:rFonts w:ascii="Century Gothic" w:hAnsi="Century Gothic" w:cs="Century Gothic"/>
          <w:b/>
          <w:bCs/>
          <w:szCs w:val="24"/>
        </w:rPr>
        <w:t>WRITTEN REPLY</w:t>
      </w:r>
    </w:p>
    <w:p w:rsidR="0011462B" w:rsidRDefault="0011462B" w:rsidP="0011462B">
      <w:pPr>
        <w:spacing w:after="0" w:line="240" w:lineRule="auto"/>
        <w:contextualSpacing/>
        <w:jc w:val="center"/>
        <w:rPr>
          <w:rFonts w:ascii="Times New Roman" w:hAnsi="Times New Roman"/>
          <w:sz w:val="24"/>
          <w:lang w:val="en-GB"/>
        </w:rPr>
      </w:pPr>
    </w:p>
    <w:p w:rsidR="0011462B" w:rsidRDefault="0011462B" w:rsidP="0011462B">
      <w:pPr>
        <w:spacing w:after="0" w:line="240" w:lineRule="auto"/>
        <w:contextualSpacing/>
        <w:jc w:val="center"/>
        <w:rPr>
          <w:rFonts w:ascii="Times New Roman" w:hAnsi="Times New Roman"/>
          <w:sz w:val="24"/>
          <w:lang w:val="en-GB"/>
        </w:rPr>
      </w:pPr>
    </w:p>
    <w:p w:rsidR="0011462B" w:rsidRPr="008732A4" w:rsidRDefault="0011462B" w:rsidP="0011462B">
      <w:pPr>
        <w:spacing w:after="0" w:line="240" w:lineRule="auto"/>
        <w:contextualSpacing/>
        <w:jc w:val="center"/>
        <w:rPr>
          <w:rFonts w:ascii="Times New Roman" w:hAnsi="Times New Roman"/>
          <w:sz w:val="24"/>
          <w:lang w:val="en-GB"/>
        </w:rPr>
      </w:pPr>
    </w:p>
    <w:p w:rsidR="0011462B" w:rsidRPr="008732A4" w:rsidRDefault="0011462B" w:rsidP="0011462B">
      <w:pPr>
        <w:numPr>
          <w:ilvl w:val="0"/>
          <w:numId w:val="1"/>
        </w:numPr>
        <w:spacing w:after="0" w:line="240" w:lineRule="auto"/>
        <w:ind w:left="567" w:hanging="567"/>
        <w:contextualSpacing/>
        <w:rPr>
          <w:rFonts w:ascii="Century Gothic" w:hAnsi="Century Gothic" w:cs="Times New Roman"/>
          <w:b/>
          <w:bCs/>
          <w:szCs w:val="24"/>
          <w:lang w:val="en-GB"/>
        </w:rPr>
      </w:pPr>
      <w:r w:rsidRPr="008732A4">
        <w:rPr>
          <w:rFonts w:ascii="Century Gothic" w:hAnsi="Century Gothic" w:cs="Times New Roman"/>
          <w:b/>
          <w:bCs/>
          <w:szCs w:val="24"/>
          <w:lang w:val="en-GB"/>
        </w:rPr>
        <w:t>Ms P Z Lekker to ask Mr A T Fritz, Minister of Community Safety:</w:t>
      </w:r>
    </w:p>
    <w:p w:rsidR="0011462B" w:rsidRPr="008732A4" w:rsidRDefault="0011462B" w:rsidP="0011462B">
      <w:pPr>
        <w:spacing w:after="0" w:line="240" w:lineRule="auto"/>
        <w:ind w:left="567"/>
        <w:contextualSpacing/>
        <w:rPr>
          <w:rFonts w:ascii="Century Gothic" w:hAnsi="Century Gothic" w:cs="Times New Roman"/>
          <w:bCs/>
          <w:sz w:val="14"/>
          <w:szCs w:val="16"/>
          <w:u w:val="single"/>
          <w:lang w:val="en-GB"/>
        </w:rPr>
      </w:pPr>
    </w:p>
    <w:p w:rsidR="0011462B" w:rsidRPr="008732A4" w:rsidRDefault="0011462B" w:rsidP="0011462B">
      <w:pPr>
        <w:numPr>
          <w:ilvl w:val="0"/>
          <w:numId w:val="3"/>
        </w:numPr>
        <w:tabs>
          <w:tab w:val="left" w:pos="993"/>
        </w:tabs>
        <w:spacing w:after="0" w:line="240" w:lineRule="auto"/>
        <w:ind w:left="567" w:firstLine="0"/>
        <w:contextualSpacing/>
        <w:jc w:val="both"/>
        <w:rPr>
          <w:rFonts w:ascii="Century Gothic" w:hAnsi="Century Gothic" w:cs="Times New Roman"/>
          <w:sz w:val="14"/>
          <w:szCs w:val="16"/>
          <w:lang w:val="en-GB"/>
        </w:rPr>
      </w:pPr>
      <w:r w:rsidRPr="008732A4">
        <w:rPr>
          <w:rFonts w:ascii="Century Gothic" w:eastAsia="Times New Roman" w:hAnsi="Century Gothic" w:cs="Times New Roman"/>
          <w:szCs w:val="24"/>
          <w:lang w:val="en-GB"/>
        </w:rPr>
        <w:t>How many community policing forums (CPFs) have been funded by his Department during the current financial year, (b) what are the (i) names and (ii) locations of the funded CPFs and (iii) how much funding did each CPF receive and (c)(i) how many CPFs have not been funded by his Department and (ii) for each CPF, why have they not been funded?</w:t>
      </w:r>
    </w:p>
    <w:p w:rsidR="0011462B" w:rsidRPr="008732A4" w:rsidRDefault="0011462B" w:rsidP="0011462B">
      <w:pPr>
        <w:spacing w:line="240" w:lineRule="auto"/>
        <w:ind w:left="42"/>
        <w:jc w:val="both"/>
        <w:rPr>
          <w:rFonts w:ascii="Century Gothic" w:hAnsi="Century Gothic" w:cs="Century Gothic"/>
          <w:sz w:val="4"/>
        </w:rPr>
      </w:pPr>
    </w:p>
    <w:p w:rsidR="0011462B" w:rsidRPr="008732A4" w:rsidRDefault="0011462B" w:rsidP="0011462B">
      <w:pPr>
        <w:spacing w:after="0" w:line="240" w:lineRule="auto"/>
        <w:jc w:val="both"/>
        <w:rPr>
          <w:rFonts w:ascii="Century Gothic" w:hAnsi="Century Gothic" w:cs="Times New Roman"/>
          <w:spacing w:val="5"/>
          <w:sz w:val="2"/>
          <w:szCs w:val="16"/>
        </w:rPr>
      </w:pPr>
    </w:p>
    <w:p w:rsidR="0011462B" w:rsidRPr="008732A4" w:rsidRDefault="0011462B" w:rsidP="0011462B">
      <w:pPr>
        <w:spacing w:after="0" w:line="240" w:lineRule="auto"/>
        <w:ind w:left="567" w:firstLine="3"/>
        <w:jc w:val="right"/>
        <w:rPr>
          <w:rFonts w:ascii="Century Gothic" w:hAnsi="Century Gothic" w:cs="Times New Roman"/>
          <w:i/>
          <w:sz w:val="6"/>
          <w:lang w:val="en-GB"/>
        </w:rPr>
      </w:pPr>
    </w:p>
    <w:p w:rsidR="0011462B" w:rsidRDefault="0011462B" w:rsidP="0011462B">
      <w:pPr>
        <w:spacing w:line="240" w:lineRule="auto"/>
        <w:contextualSpacing/>
        <w:jc w:val="both"/>
        <w:rPr>
          <w:rFonts w:ascii="Century Gothic" w:hAnsi="Century Gothic" w:cs="Century Gothic"/>
          <w:b/>
          <w:bCs/>
          <w:u w:val="single"/>
        </w:rPr>
      </w:pPr>
    </w:p>
    <w:p w:rsidR="0011462B" w:rsidRDefault="0011462B" w:rsidP="0011462B">
      <w:pPr>
        <w:spacing w:line="240" w:lineRule="auto"/>
        <w:contextualSpacing/>
        <w:jc w:val="both"/>
        <w:rPr>
          <w:rFonts w:ascii="Century Gothic" w:hAnsi="Century Gothic" w:cs="Century Gothic"/>
          <w:b/>
          <w:bCs/>
          <w:u w:val="single"/>
        </w:rPr>
      </w:pPr>
      <w:r w:rsidRPr="008732A4">
        <w:rPr>
          <w:rFonts w:ascii="Century Gothic" w:hAnsi="Century Gothic" w:cs="Century Gothic"/>
          <w:b/>
          <w:bCs/>
          <w:u w:val="single"/>
        </w:rPr>
        <w:t>MINISTER OF COMMUNITY SAFETY TO REPLY</w:t>
      </w:r>
    </w:p>
    <w:p w:rsidR="0011462B" w:rsidRPr="008732A4" w:rsidRDefault="0011462B" w:rsidP="0011462B">
      <w:pPr>
        <w:spacing w:line="240" w:lineRule="auto"/>
        <w:contextualSpacing/>
        <w:jc w:val="both"/>
        <w:rPr>
          <w:rFonts w:ascii="Century Gothic" w:hAnsi="Century Gothic" w:cs="Century Gothic"/>
          <w:b/>
          <w:bCs/>
          <w:u w:val="single"/>
        </w:rPr>
      </w:pPr>
    </w:p>
    <w:p w:rsidR="0011462B" w:rsidRPr="008732A4" w:rsidRDefault="0011462B" w:rsidP="0011462B">
      <w:pPr>
        <w:tabs>
          <w:tab w:val="left" w:pos="567"/>
          <w:tab w:val="left" w:pos="1418"/>
        </w:tabs>
        <w:ind w:left="2127" w:hanging="2127"/>
        <w:jc w:val="both"/>
        <w:rPr>
          <w:rFonts w:ascii="Century Gothic" w:hAnsi="Century Gothic" w:cs="Century Gothic"/>
          <w:bCs/>
        </w:rPr>
      </w:pPr>
      <w:r w:rsidRPr="008732A4">
        <w:rPr>
          <w:rFonts w:ascii="Century Gothic" w:hAnsi="Century Gothic" w:cs="Century Gothic"/>
          <w:bCs/>
        </w:rPr>
        <w:t>1.</w:t>
      </w:r>
      <w:r w:rsidRPr="008732A4">
        <w:rPr>
          <w:rFonts w:ascii="Century Gothic" w:hAnsi="Century Gothic" w:cs="Century Gothic"/>
          <w:bCs/>
        </w:rPr>
        <w:tab/>
        <w:t>(a)</w:t>
      </w:r>
      <w:r w:rsidRPr="008732A4">
        <w:rPr>
          <w:rFonts w:ascii="Century Gothic" w:hAnsi="Century Gothic" w:cs="Century Gothic"/>
          <w:bCs/>
        </w:rPr>
        <w:tab/>
      </w:r>
      <w:r w:rsidRPr="008732A4">
        <w:rPr>
          <w:rFonts w:ascii="Century Gothic" w:hAnsi="Century Gothic" w:cs="Century Gothic"/>
          <w:bCs/>
        </w:rPr>
        <w:tab/>
      </w:r>
      <w:r w:rsidRPr="008732A4">
        <w:rPr>
          <w:rFonts w:ascii="Century Gothic" w:hAnsi="Century Gothic" w:cs="Century Gothic"/>
          <w:bCs/>
          <w:lang w:val="en-GB"/>
        </w:rPr>
        <w:t>105 CPFs received funding from the Department for the first three (3) months of 2019/20</w:t>
      </w:r>
    </w:p>
    <w:bookmarkEnd w:id="1"/>
    <w:p w:rsidR="0011462B" w:rsidRPr="008732A4" w:rsidRDefault="0011462B" w:rsidP="0011462B">
      <w:pPr>
        <w:tabs>
          <w:tab w:val="left" w:pos="1134"/>
          <w:tab w:val="left" w:pos="1418"/>
        </w:tabs>
        <w:ind w:left="567" w:hanging="567"/>
        <w:jc w:val="both"/>
        <w:rPr>
          <w:rFonts w:ascii="Century Gothic" w:hAnsi="Century Gothic" w:cs="Century Gothic"/>
          <w:bCs/>
        </w:rPr>
      </w:pPr>
      <w:r w:rsidRPr="008732A4">
        <w:rPr>
          <w:rFonts w:ascii="Century Gothic" w:hAnsi="Century Gothic" w:cs="Century Gothic"/>
          <w:bCs/>
        </w:rPr>
        <w:tab/>
      </w:r>
      <w:bookmarkStart w:id="2" w:name="_Hlk14786676"/>
      <w:r w:rsidRPr="008732A4">
        <w:rPr>
          <w:rFonts w:ascii="Century Gothic" w:hAnsi="Century Gothic" w:cs="Century Gothic"/>
          <w:bCs/>
        </w:rPr>
        <w:t>(b)</w:t>
      </w:r>
      <w:r w:rsidRPr="008732A4">
        <w:rPr>
          <w:rFonts w:ascii="Century Gothic" w:hAnsi="Century Gothic" w:cs="Century Gothic"/>
          <w:bCs/>
        </w:rPr>
        <w:tab/>
        <w:t>(i)</w:t>
      </w:r>
      <w:r w:rsidRPr="008732A4">
        <w:rPr>
          <w:rFonts w:ascii="Century Gothic" w:hAnsi="Century Gothic" w:cs="Century Gothic"/>
          <w:bCs/>
        </w:rPr>
        <w:tab/>
      </w:r>
      <w:r w:rsidRPr="008732A4">
        <w:rPr>
          <w:rFonts w:ascii="Century Gothic" w:hAnsi="Century Gothic" w:cs="Century Gothic"/>
          <w:bCs/>
        </w:rPr>
        <w:tab/>
      </w:r>
      <w:r w:rsidRPr="008732A4">
        <w:rPr>
          <w:rFonts w:ascii="Century Gothic" w:hAnsi="Century Gothic" w:cs="Century Gothic"/>
          <w:bCs/>
        </w:rPr>
        <w:tab/>
        <w:t>See Annexure A</w:t>
      </w:r>
    </w:p>
    <w:p w:rsidR="0011462B" w:rsidRPr="008732A4" w:rsidRDefault="0011462B" w:rsidP="0011462B">
      <w:pPr>
        <w:tabs>
          <w:tab w:val="left" w:pos="993"/>
          <w:tab w:val="left" w:pos="1134"/>
        </w:tabs>
        <w:ind w:left="567" w:hanging="567"/>
        <w:jc w:val="both"/>
        <w:rPr>
          <w:rFonts w:ascii="Century Gothic" w:hAnsi="Century Gothic" w:cs="Century Gothic"/>
          <w:bCs/>
        </w:rPr>
      </w:pPr>
      <w:r w:rsidRPr="008732A4">
        <w:rPr>
          <w:rFonts w:ascii="Century Gothic" w:hAnsi="Century Gothic" w:cs="Century Gothic"/>
          <w:bCs/>
        </w:rPr>
        <w:tab/>
      </w:r>
      <w:r w:rsidRPr="008732A4">
        <w:rPr>
          <w:rFonts w:ascii="Century Gothic" w:hAnsi="Century Gothic" w:cs="Century Gothic"/>
          <w:bCs/>
        </w:rPr>
        <w:tab/>
      </w:r>
      <w:r w:rsidRPr="008732A4">
        <w:rPr>
          <w:rFonts w:ascii="Century Gothic" w:hAnsi="Century Gothic" w:cs="Century Gothic"/>
          <w:bCs/>
        </w:rPr>
        <w:tab/>
        <w:t>(ii)</w:t>
      </w:r>
      <w:r w:rsidRPr="008732A4">
        <w:rPr>
          <w:rFonts w:ascii="Century Gothic" w:hAnsi="Century Gothic" w:cs="Century Gothic"/>
          <w:bCs/>
        </w:rPr>
        <w:tab/>
      </w:r>
      <w:r w:rsidRPr="008732A4">
        <w:rPr>
          <w:rFonts w:ascii="Century Gothic" w:hAnsi="Century Gothic" w:cs="Century Gothic"/>
          <w:bCs/>
        </w:rPr>
        <w:tab/>
        <w:t>See Annexure A</w:t>
      </w:r>
    </w:p>
    <w:p w:rsidR="0011462B" w:rsidRPr="008732A4" w:rsidRDefault="0011462B" w:rsidP="0011462B">
      <w:pPr>
        <w:tabs>
          <w:tab w:val="left" w:pos="993"/>
          <w:tab w:val="left" w:pos="1134"/>
        </w:tabs>
        <w:ind w:left="567" w:hanging="567"/>
        <w:jc w:val="both"/>
        <w:rPr>
          <w:rFonts w:ascii="Century Gothic" w:hAnsi="Century Gothic" w:cs="Century Gothic"/>
          <w:bCs/>
        </w:rPr>
      </w:pPr>
      <w:r w:rsidRPr="008732A4">
        <w:rPr>
          <w:rFonts w:ascii="Century Gothic" w:hAnsi="Century Gothic" w:cs="Century Gothic"/>
          <w:bCs/>
        </w:rPr>
        <w:tab/>
      </w:r>
      <w:r w:rsidRPr="008732A4">
        <w:rPr>
          <w:rFonts w:ascii="Century Gothic" w:hAnsi="Century Gothic" w:cs="Century Gothic"/>
          <w:bCs/>
        </w:rPr>
        <w:tab/>
      </w:r>
      <w:r w:rsidRPr="008732A4">
        <w:rPr>
          <w:rFonts w:ascii="Century Gothic" w:hAnsi="Century Gothic" w:cs="Century Gothic"/>
          <w:bCs/>
        </w:rPr>
        <w:tab/>
        <w:t>(iii)</w:t>
      </w:r>
      <w:r w:rsidRPr="008732A4">
        <w:rPr>
          <w:rFonts w:ascii="Century Gothic" w:hAnsi="Century Gothic" w:cs="Century Gothic"/>
          <w:bCs/>
        </w:rPr>
        <w:tab/>
      </w:r>
      <w:r w:rsidRPr="008732A4">
        <w:rPr>
          <w:rFonts w:ascii="Century Gothic" w:hAnsi="Century Gothic" w:cs="Century Gothic"/>
          <w:bCs/>
        </w:rPr>
        <w:tab/>
        <w:t>See Annexure A</w:t>
      </w:r>
    </w:p>
    <w:bookmarkEnd w:id="2"/>
    <w:p w:rsidR="0011462B" w:rsidRDefault="0011462B" w:rsidP="000C5510">
      <w:pPr>
        <w:ind w:left="720"/>
        <w:rPr>
          <w:rFonts w:ascii="Century Gothic" w:hAnsi="Century Gothic" w:cs="Calibri"/>
          <w:b/>
          <w:lang w:val="en-GB"/>
        </w:rPr>
      </w:pPr>
    </w:p>
    <w:p w:rsidR="0011462B" w:rsidRDefault="0011462B" w:rsidP="000C5510">
      <w:pPr>
        <w:ind w:left="720"/>
        <w:rPr>
          <w:rFonts w:ascii="Century Gothic" w:hAnsi="Century Gothic" w:cs="Calibri"/>
          <w:b/>
          <w:lang w:val="en-GB"/>
        </w:rPr>
      </w:pPr>
    </w:p>
    <w:p w:rsidR="000C5510" w:rsidRDefault="000C5510" w:rsidP="000C5510">
      <w:pPr>
        <w:ind w:left="720"/>
        <w:rPr>
          <w:rFonts w:ascii="Century Gothic" w:hAnsi="Century Gothic" w:cs="Calibri"/>
          <w:b/>
          <w:lang w:val="en-GB"/>
        </w:rPr>
      </w:pPr>
      <w:r w:rsidRPr="000C5510">
        <w:rPr>
          <w:rFonts w:ascii="Century Gothic" w:hAnsi="Century Gothic" w:cs="Calibri"/>
          <w:b/>
          <w:lang w:val="en-GB"/>
        </w:rPr>
        <w:t>Annexure A</w:t>
      </w:r>
    </w:p>
    <w:tbl>
      <w:tblPr>
        <w:tblW w:w="10802" w:type="dxa"/>
        <w:tblInd w:w="-289" w:type="dxa"/>
        <w:tblLook w:val="04A0" w:firstRow="1" w:lastRow="0" w:firstColumn="1" w:lastColumn="0" w:noHBand="0" w:noVBand="1"/>
      </w:tblPr>
      <w:tblGrid>
        <w:gridCol w:w="516"/>
        <w:gridCol w:w="2040"/>
        <w:gridCol w:w="1336"/>
        <w:gridCol w:w="1113"/>
        <w:gridCol w:w="1540"/>
        <w:gridCol w:w="2627"/>
        <w:gridCol w:w="1630"/>
      </w:tblGrid>
      <w:tr w:rsidR="00AA3129" w:rsidRPr="00AA3129" w:rsidTr="0011462B">
        <w:trPr>
          <w:trHeight w:val="780"/>
        </w:trPr>
        <w:tc>
          <w:tcPr>
            <w:tcW w:w="516"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w:t>
            </w:r>
          </w:p>
        </w:tc>
        <w:tc>
          <w:tcPr>
            <w:tcW w:w="2040"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CPF</w:t>
            </w:r>
          </w:p>
        </w:tc>
        <w:tc>
          <w:tcPr>
            <w:tcW w:w="1336"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Grand Total</w:t>
            </w:r>
          </w:p>
        </w:tc>
        <w:tc>
          <w:tcPr>
            <w:tcW w:w="1113" w:type="dxa"/>
            <w:tcBorders>
              <w:top w:val="single" w:sz="4" w:space="0" w:color="auto"/>
              <w:left w:val="nil"/>
              <w:bottom w:val="single" w:sz="4" w:space="0" w:color="auto"/>
              <w:right w:val="single" w:sz="4" w:space="0" w:color="auto"/>
            </w:tcBorders>
            <w:shd w:val="clear" w:color="auto" w:fill="1F3864" w:themeFill="accent1" w:themeFillShade="80"/>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No. of Reports Submitted</w:t>
            </w:r>
          </w:p>
        </w:tc>
        <w:tc>
          <w:tcPr>
            <w:tcW w:w="1540"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Cluster</w:t>
            </w:r>
          </w:p>
        </w:tc>
        <w:tc>
          <w:tcPr>
            <w:tcW w:w="2627"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Municipality</w:t>
            </w:r>
          </w:p>
        </w:tc>
        <w:tc>
          <w:tcPr>
            <w:tcW w:w="1630"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AA3129" w:rsidRDefault="00AA3129" w:rsidP="00AA3129">
            <w:pPr>
              <w:spacing w:after="0" w:line="240" w:lineRule="auto"/>
              <w:rPr>
                <w:rFonts w:ascii="Century Gothic" w:eastAsia="Times New Roman" w:hAnsi="Century Gothic" w:cs="Times New Roman"/>
                <w:b/>
                <w:bCs/>
                <w:color w:val="FFFFFF"/>
                <w:sz w:val="18"/>
                <w:szCs w:val="20"/>
                <w:lang w:eastAsia="en-ZA"/>
              </w:rPr>
            </w:pPr>
            <w:r w:rsidRPr="00AA3129">
              <w:rPr>
                <w:rFonts w:ascii="Century Gothic" w:eastAsia="Times New Roman" w:hAnsi="Century Gothic" w:cs="Times New Roman"/>
                <w:b/>
                <w:bCs/>
                <w:color w:val="FFFFFF"/>
                <w:sz w:val="18"/>
                <w:szCs w:val="20"/>
                <w:lang w:eastAsia="en-ZA"/>
              </w:rPr>
              <w:t>Local Municipalities</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Albertinia</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5 312.00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Hessequa</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Ashton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1 872.00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Langeberg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Barrydale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3 056.00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Swellendam</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2 624.00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Bellville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6 112.00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Bellville South</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Blue Downs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Bonnievale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3 872.00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Langeberg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Bothasig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5 680.00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Brackenfell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5 872.00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Calitzdorp</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Kannaland</w:t>
            </w:r>
          </w:p>
          <w:p w:rsidR="0011462B" w:rsidRPr="00AA3129" w:rsidRDefault="0011462B" w:rsidP="00AA3129">
            <w:pPr>
              <w:spacing w:after="0" w:line="240" w:lineRule="auto"/>
              <w:rPr>
                <w:rFonts w:ascii="Century Gothic" w:eastAsia="Times New Roman" w:hAnsi="Century Gothic" w:cs="Times New Roman"/>
                <w:sz w:val="18"/>
                <w:szCs w:val="20"/>
                <w:lang w:eastAsia="en-ZA"/>
              </w:rPr>
            </w:pP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lastRenderedPageBreak/>
              <w:t>11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Town Central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2 384.00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Town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Ceres</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2 224.00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Witzenberg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Citrusdal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2 080.00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Cederberg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Clanwilliam</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Cederberg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Claremont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Cloetesville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2 512.00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Stellenbosch</w:t>
            </w:r>
          </w:p>
          <w:p w:rsidR="0011462B" w:rsidRPr="00AA3129" w:rsidRDefault="0011462B" w:rsidP="00AA3129">
            <w:pPr>
              <w:spacing w:after="0" w:line="240" w:lineRule="auto"/>
              <w:rPr>
                <w:rFonts w:ascii="Century Gothic" w:eastAsia="Times New Roman" w:hAnsi="Century Gothic" w:cs="Times New Roman"/>
                <w:sz w:val="18"/>
                <w:szCs w:val="20"/>
                <w:lang w:eastAsia="en-ZA"/>
              </w:rPr>
            </w:pP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Darling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Swartland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De Rust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Oudtshoorn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Dieprivier</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Doringbaai</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4 256.00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Matzikama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Durbanville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6 304.00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Dysselsdorp</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3 584.00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Oudtshoorn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Eendekuil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4 576.00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Bergriver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Fish Hoek</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6 400.00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Franschhoek</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2 800.00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Stellenbosch</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Gans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6 400.00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Overstrand</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Genadendal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2 224.00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Theewaterskloof</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George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5 488.00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George</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29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Goodwood</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2 672.00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Gordons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Khayelitsha</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Grassy Park</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3 648.00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Mitchells Plain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Groot Brakrivier</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2 416.00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Mosselbay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Groot Drakenstein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Drakenstein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Gugulethu</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3 584.00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Nyanga</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Heidelberg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2 800.00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Hessequa</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Hermanus</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2 384.00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Overstrand</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Hopefield</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7 872.00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3</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Saldanabay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Hout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5 296.00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39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Kensington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6 208.00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Town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Khayelitsha (Site B)</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2 800.00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Khayelitsha</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Kirstenhof</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6 304.00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Klapmuts</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4 672.00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Stellenbosch</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Kleinmond</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1 792.00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Overstrand</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Knysna</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Knysna</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Kraaifontein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6 400.00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Kwanonqaba</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2 960.00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Mosselbay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Laaiplek</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5 712.00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Bergriver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Ladismith</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7 776.00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3</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Kannaland</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49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Laingsburg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2 992.00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Laingsburg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Lambertsbaai</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7 392.00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3</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Cederberg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Leeu-Gamka</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4 880.00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Prins Albert</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Lutzville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2 320.00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Matzikama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Macassar</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6 016.00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Khayelitsha</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lastRenderedPageBreak/>
              <w:t>54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Maitland</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3 680.00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Town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Mbekweni</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1 392.00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Drakenstein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Mcgregor</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1 264.00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Langeberg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Melkbosstrand</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9 600.00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3</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1 904.00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59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Montagu</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2 416.00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Langeberg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Moorreesburg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5 248.00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Swartland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Mossel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6 000.00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Mosselbay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Muizenberg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5 296.00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Murraysburg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1 792.00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Nuwerus</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2 704.00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Matzikama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Ocean View</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5 104.00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Oudtshoorn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3 792.00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Oudtshoorn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Paarl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3 456.00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Drakenstein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Paarl East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Drakenstein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69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Parow</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2 272.00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Tygerberg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Philadelphia</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4 976.00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Philippi East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Nyanga</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Piketberg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4 272.00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Bergriver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Pinelands</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5 536.00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Town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Plettenberg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2 768.00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Bitou</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Porterville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5 024.00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Bergriver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PA Hamlet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Witzenberg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Prins Albert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1 792.00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Beaufort West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Prins Albert</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Rawsonville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2 912.00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Breede Valley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79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Redelinghuys</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3 248.00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Bergriver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Riebeeck West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3 952.00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Swartland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Riversdale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4 064.00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Hessequa</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Robertson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4 352.00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Langeberg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Rondebosch</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6 400.00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Saldanha</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4 880.00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Saldanabay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Saron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5 072.00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Drakenstein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Simons Town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6 208.00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Wynberg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Somerset West</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6 400.00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Khayelitsha</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 Helena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4 880.00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Saldanabay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89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Stanford</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2 816.00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Overstrand</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Steenberg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5 824.00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Mitchells Plain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Stellenbosch</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5 024.00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Stellenbosch</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Still Bay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2 320.00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Hessequa</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Suurbraak</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2 800.00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Swellendam</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Swellendam</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6 016.00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Da Gamaskop</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Overberg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Swellendam</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95</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Table View</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Milnerton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City </w:t>
            </w:r>
            <w:r>
              <w:rPr>
                <w:rFonts w:ascii="Century Gothic" w:eastAsia="Times New Roman" w:hAnsi="Century Gothic" w:cs="Times New Roman"/>
                <w:sz w:val="18"/>
                <w:szCs w:val="20"/>
                <w:lang w:eastAsia="en-ZA"/>
              </w:rPr>
              <w:t>of</w:t>
            </w:r>
            <w:r w:rsidRPr="00AA3129">
              <w:rPr>
                <w:rFonts w:ascii="Century Gothic" w:eastAsia="Times New Roman" w:hAnsi="Century Gothic" w:cs="Times New Roman"/>
                <w:sz w:val="18"/>
                <w:szCs w:val="20"/>
                <w:lang w:eastAsia="en-ZA"/>
              </w:rPr>
              <w:t xml:space="preserve"> Cape Town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96</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Thembalethu</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1 936.00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George</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97</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Touws River</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5 712.00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Breede Valley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lastRenderedPageBreak/>
              <w:t>98</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Tulbagh</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4 544.00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Witzenberg</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99</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Uniondale</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896.00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1</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Eden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George</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100</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Vanrhynsdorp</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5 216.00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Matzikama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101</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5 920.00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Vredenburg</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Saldanabay</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102</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4 672.00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Vredendal</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West Coast Municipality</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 xml:space="preserve">Matzikama </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103</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Wellington</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3 296.00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Winelands</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Drakenstein</w:t>
            </w:r>
          </w:p>
        </w:tc>
      </w:tr>
      <w:tr w:rsidR="00AA3129" w:rsidRPr="00AA3129" w:rsidTr="0011462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104</w:t>
            </w:r>
          </w:p>
        </w:tc>
        <w:tc>
          <w:tcPr>
            <w:tcW w:w="20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Wolseley</w:t>
            </w:r>
          </w:p>
        </w:tc>
        <w:tc>
          <w:tcPr>
            <w:tcW w:w="1336" w:type="dxa"/>
            <w:tcBorders>
              <w:top w:val="nil"/>
              <w:left w:val="nil"/>
              <w:bottom w:val="single" w:sz="4" w:space="0" w:color="auto"/>
              <w:right w:val="single" w:sz="4" w:space="0" w:color="auto"/>
            </w:tcBorders>
            <w:shd w:val="clear" w:color="auto" w:fill="auto"/>
            <w:noWrap/>
            <w:vAlign w:val="bottom"/>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R 5 600.00</w:t>
            </w:r>
          </w:p>
        </w:tc>
        <w:tc>
          <w:tcPr>
            <w:tcW w:w="1113"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jc w:val="center"/>
              <w:rPr>
                <w:rFonts w:ascii="Century Gothic" w:eastAsia="Times New Roman" w:hAnsi="Century Gothic" w:cs="Times New Roman"/>
                <w:b/>
                <w:bCs/>
                <w:sz w:val="18"/>
                <w:szCs w:val="20"/>
                <w:lang w:eastAsia="en-ZA"/>
              </w:rPr>
            </w:pPr>
            <w:r w:rsidRPr="00AA3129">
              <w:rPr>
                <w:rFonts w:ascii="Century Gothic" w:eastAsia="Times New Roman" w:hAnsi="Century Gothic" w:cs="Times New Roman"/>
                <w:b/>
                <w:bCs/>
                <w:sz w:val="18"/>
                <w:szCs w:val="20"/>
                <w:lang w:eastAsia="en-ZA"/>
              </w:rPr>
              <w:t>2</w:t>
            </w:r>
          </w:p>
        </w:tc>
        <w:tc>
          <w:tcPr>
            <w:tcW w:w="154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Worcester</w:t>
            </w:r>
          </w:p>
        </w:tc>
        <w:tc>
          <w:tcPr>
            <w:tcW w:w="2627"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Cape Winelands</w:t>
            </w:r>
          </w:p>
        </w:tc>
        <w:tc>
          <w:tcPr>
            <w:tcW w:w="1630" w:type="dxa"/>
            <w:tcBorders>
              <w:top w:val="nil"/>
              <w:left w:val="nil"/>
              <w:bottom w:val="single" w:sz="4" w:space="0" w:color="auto"/>
              <w:right w:val="single" w:sz="4" w:space="0" w:color="auto"/>
            </w:tcBorders>
            <w:shd w:val="clear" w:color="auto" w:fill="auto"/>
            <w:noWrap/>
            <w:vAlign w:val="center"/>
            <w:hideMark/>
          </w:tcPr>
          <w:p w:rsidR="00AA3129" w:rsidRPr="00AA3129" w:rsidRDefault="00AA3129" w:rsidP="00AA3129">
            <w:pPr>
              <w:spacing w:after="0" w:line="240" w:lineRule="auto"/>
              <w:rPr>
                <w:rFonts w:ascii="Century Gothic" w:eastAsia="Times New Roman" w:hAnsi="Century Gothic" w:cs="Times New Roman"/>
                <w:sz w:val="18"/>
                <w:szCs w:val="20"/>
                <w:lang w:eastAsia="en-ZA"/>
              </w:rPr>
            </w:pPr>
            <w:r w:rsidRPr="00AA3129">
              <w:rPr>
                <w:rFonts w:ascii="Century Gothic" w:eastAsia="Times New Roman" w:hAnsi="Century Gothic" w:cs="Times New Roman"/>
                <w:sz w:val="18"/>
                <w:szCs w:val="20"/>
                <w:lang w:eastAsia="en-ZA"/>
              </w:rPr>
              <w:t>Witzenberg</w:t>
            </w:r>
          </w:p>
        </w:tc>
      </w:tr>
    </w:tbl>
    <w:p w:rsidR="00C62A5C" w:rsidRDefault="00C62A5C" w:rsidP="000C5510">
      <w:pPr>
        <w:ind w:left="720"/>
        <w:rPr>
          <w:rFonts w:ascii="Century Gothic" w:hAnsi="Century Gothic" w:cs="Calibri"/>
          <w:b/>
          <w:lang w:val="en-GB"/>
        </w:rPr>
      </w:pPr>
    </w:p>
    <w:p w:rsidR="0011462B" w:rsidRDefault="0011462B" w:rsidP="0011462B">
      <w:pPr>
        <w:tabs>
          <w:tab w:val="left" w:pos="1134"/>
        </w:tabs>
        <w:ind w:left="2127" w:hanging="1560"/>
        <w:rPr>
          <w:rFonts w:ascii="Century Gothic" w:hAnsi="Century Gothic" w:cs="Century Gothic"/>
          <w:bCs/>
        </w:rPr>
      </w:pPr>
    </w:p>
    <w:p w:rsidR="0011462B" w:rsidRPr="008732A4" w:rsidRDefault="0011462B" w:rsidP="0011462B">
      <w:pPr>
        <w:tabs>
          <w:tab w:val="left" w:pos="1134"/>
        </w:tabs>
        <w:ind w:left="2127" w:hanging="1560"/>
        <w:rPr>
          <w:rFonts w:ascii="Century Gothic" w:hAnsi="Century Gothic" w:cs="Century Gothic"/>
          <w:bCs/>
        </w:rPr>
      </w:pPr>
      <w:r w:rsidRPr="008732A4">
        <w:rPr>
          <w:rFonts w:ascii="Century Gothic" w:hAnsi="Century Gothic" w:cs="Century Gothic"/>
          <w:bCs/>
        </w:rPr>
        <w:t>(c)</w:t>
      </w:r>
      <w:r>
        <w:rPr>
          <w:rFonts w:ascii="Century Gothic" w:hAnsi="Century Gothic" w:cs="Century Gothic"/>
          <w:bCs/>
        </w:rPr>
        <w:tab/>
        <w:t>(</w:t>
      </w:r>
      <w:r w:rsidRPr="008732A4">
        <w:rPr>
          <w:rFonts w:ascii="Century Gothic" w:hAnsi="Century Gothic" w:cs="Century Gothic"/>
          <w:bCs/>
        </w:rPr>
        <w:t>i)</w:t>
      </w:r>
      <w:r>
        <w:rPr>
          <w:rFonts w:ascii="Century Gothic" w:hAnsi="Century Gothic" w:cs="Century Gothic"/>
          <w:bCs/>
        </w:rPr>
        <w:tab/>
      </w:r>
      <w:r>
        <w:rPr>
          <w:rFonts w:ascii="Century Gothic" w:hAnsi="Century Gothic" w:cs="Century Gothic"/>
          <w:bCs/>
        </w:rPr>
        <w:tab/>
      </w:r>
      <w:r w:rsidRPr="008732A4">
        <w:rPr>
          <w:rFonts w:ascii="Century Gothic" w:hAnsi="Century Gothic" w:cs="Century Gothic"/>
          <w:bCs/>
          <w:lang w:val="en-GB"/>
        </w:rPr>
        <w:t>61 CPFs have not received funding from the Department for the first three (3) months of 2019/20</w:t>
      </w:r>
    </w:p>
    <w:p w:rsidR="0011462B" w:rsidRPr="008732A4" w:rsidRDefault="0011462B" w:rsidP="0011462B">
      <w:pPr>
        <w:tabs>
          <w:tab w:val="left" w:pos="993"/>
          <w:tab w:val="left" w:pos="1134"/>
        </w:tabs>
        <w:ind w:left="567" w:hanging="567"/>
        <w:jc w:val="both"/>
        <w:rPr>
          <w:rFonts w:ascii="Century Gothic" w:hAnsi="Century Gothic" w:cs="Century Gothic"/>
          <w:bCs/>
        </w:rPr>
      </w:pPr>
      <w:r w:rsidRPr="008732A4">
        <w:rPr>
          <w:rFonts w:ascii="Century Gothic" w:hAnsi="Century Gothic" w:cs="Century Gothic"/>
          <w:bCs/>
        </w:rPr>
        <w:tab/>
      </w:r>
      <w:r w:rsidRPr="008732A4">
        <w:rPr>
          <w:rFonts w:ascii="Century Gothic" w:hAnsi="Century Gothic" w:cs="Century Gothic"/>
          <w:bCs/>
        </w:rPr>
        <w:tab/>
      </w:r>
      <w:r w:rsidRPr="008732A4">
        <w:rPr>
          <w:rFonts w:ascii="Century Gothic" w:hAnsi="Century Gothic" w:cs="Century Gothic"/>
          <w:bCs/>
        </w:rPr>
        <w:tab/>
        <w:t>(ii)</w:t>
      </w:r>
      <w:r w:rsidRPr="008732A4">
        <w:rPr>
          <w:rFonts w:ascii="Century Gothic" w:hAnsi="Century Gothic" w:cs="Century Gothic"/>
          <w:bCs/>
        </w:rPr>
        <w:tab/>
      </w:r>
      <w:r w:rsidRPr="008732A4">
        <w:rPr>
          <w:rFonts w:ascii="Century Gothic" w:hAnsi="Century Gothic" w:cs="Century Gothic"/>
          <w:bCs/>
        </w:rPr>
        <w:tab/>
        <w:t>See Annexure B</w:t>
      </w:r>
    </w:p>
    <w:p w:rsidR="00C62A5C" w:rsidRDefault="00C62A5C" w:rsidP="000C5510">
      <w:pPr>
        <w:ind w:left="720"/>
        <w:rPr>
          <w:rFonts w:ascii="Century Gothic" w:hAnsi="Century Gothic" w:cs="Calibri"/>
          <w:b/>
          <w:lang w:val="en-GB"/>
        </w:rPr>
        <w:sectPr w:rsidR="00C62A5C" w:rsidSect="0011462B">
          <w:pgSz w:w="11906" w:h="16838"/>
          <w:pgMar w:top="568" w:right="1440" w:bottom="1440" w:left="851" w:header="708" w:footer="708" w:gutter="0"/>
          <w:cols w:space="708"/>
          <w:docGrid w:linePitch="360"/>
        </w:sectPr>
      </w:pPr>
    </w:p>
    <w:p w:rsidR="00DC5BEB" w:rsidRPr="000C5510" w:rsidRDefault="00DC5BEB" w:rsidP="000C5510">
      <w:pPr>
        <w:ind w:left="720"/>
        <w:rPr>
          <w:rFonts w:ascii="Century Gothic" w:hAnsi="Century Gothic" w:cs="Calibri"/>
          <w:b/>
          <w:lang w:val="en-GB"/>
        </w:rPr>
      </w:pPr>
    </w:p>
    <w:p w:rsidR="00F12C66" w:rsidRDefault="00DC1359" w:rsidP="00F12C66">
      <w:pPr>
        <w:spacing w:after="0" w:line="240" w:lineRule="auto"/>
        <w:jc w:val="both"/>
        <w:rPr>
          <w:rFonts w:ascii="Century Gothic" w:hAnsi="Century Gothic"/>
          <w:b/>
          <w:lang w:val="en-GB"/>
        </w:rPr>
      </w:pPr>
      <w:r w:rsidRPr="00DC1359">
        <w:rPr>
          <w:rFonts w:ascii="Century Gothic" w:hAnsi="Century Gothic"/>
          <w:b/>
          <w:lang w:val="en-GB"/>
        </w:rPr>
        <w:t>Annexure B</w:t>
      </w:r>
    </w:p>
    <w:p w:rsidR="00E51198" w:rsidRDefault="00E51198" w:rsidP="00F12C66">
      <w:pPr>
        <w:spacing w:after="0" w:line="240" w:lineRule="auto"/>
        <w:jc w:val="both"/>
        <w:rPr>
          <w:rFonts w:ascii="Century Gothic" w:hAnsi="Century Gothic"/>
          <w:b/>
          <w:lang w:val="en-GB"/>
        </w:rPr>
      </w:pPr>
    </w:p>
    <w:tbl>
      <w:tblPr>
        <w:tblW w:w="15735" w:type="dxa"/>
        <w:tblInd w:w="-5" w:type="dxa"/>
        <w:tblLook w:val="04A0" w:firstRow="1" w:lastRow="0" w:firstColumn="1" w:lastColumn="0" w:noHBand="0" w:noVBand="1"/>
      </w:tblPr>
      <w:tblGrid>
        <w:gridCol w:w="420"/>
        <w:gridCol w:w="1707"/>
        <w:gridCol w:w="992"/>
        <w:gridCol w:w="1276"/>
        <w:gridCol w:w="1596"/>
        <w:gridCol w:w="2231"/>
        <w:gridCol w:w="1843"/>
        <w:gridCol w:w="5670"/>
      </w:tblGrid>
      <w:tr w:rsidR="003141F5" w:rsidRPr="003141F5" w:rsidTr="003141F5">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w:t>
            </w:r>
          </w:p>
        </w:tc>
        <w:tc>
          <w:tcPr>
            <w:tcW w:w="1707"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CPF</w:t>
            </w:r>
          </w:p>
        </w:tc>
        <w:tc>
          <w:tcPr>
            <w:tcW w:w="992"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3141F5">
            <w:pPr>
              <w:spacing w:after="0" w:line="240" w:lineRule="auto"/>
              <w:jc w:val="center"/>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Grand Total</w:t>
            </w:r>
          </w:p>
        </w:tc>
        <w:tc>
          <w:tcPr>
            <w:tcW w:w="1276"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jc w:val="center"/>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No. of Reports Submitted</w:t>
            </w:r>
          </w:p>
        </w:tc>
        <w:tc>
          <w:tcPr>
            <w:tcW w:w="1596"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Cluster</w:t>
            </w:r>
          </w:p>
        </w:tc>
        <w:tc>
          <w:tcPr>
            <w:tcW w:w="2231"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Municipality</w:t>
            </w:r>
          </w:p>
        </w:tc>
        <w:tc>
          <w:tcPr>
            <w:tcW w:w="1843"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Local Municipalities</w:t>
            </w:r>
          </w:p>
        </w:tc>
        <w:tc>
          <w:tcPr>
            <w:tcW w:w="5670"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rsidR="00AA3129" w:rsidRPr="003141F5" w:rsidRDefault="00AA3129" w:rsidP="00AA3129">
            <w:pPr>
              <w:spacing w:after="0" w:line="240" w:lineRule="auto"/>
              <w:rPr>
                <w:rFonts w:ascii="Century Gothic" w:eastAsia="Times New Roman" w:hAnsi="Century Gothic" w:cs="Times New Roman"/>
                <w:b/>
                <w:bCs/>
                <w:color w:val="FFFFFF"/>
                <w:sz w:val="18"/>
                <w:szCs w:val="18"/>
                <w:lang w:eastAsia="en-ZA"/>
              </w:rPr>
            </w:pPr>
            <w:r w:rsidRPr="003141F5">
              <w:rPr>
                <w:rFonts w:ascii="Century Gothic" w:eastAsia="Times New Roman" w:hAnsi="Century Gothic" w:cs="Times New Roman"/>
                <w:b/>
                <w:bCs/>
                <w:color w:val="FFFFFF"/>
                <w:sz w:val="18"/>
                <w:szCs w:val="18"/>
                <w:lang w:eastAsia="en-ZA"/>
              </w:rPr>
              <w:t>Reason for no Funding</w:t>
            </w:r>
          </w:p>
        </w:tc>
      </w:tr>
      <w:tr w:rsidR="00AA3129"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A3129" w:rsidRPr="003141F5" w:rsidRDefault="00AA3129" w:rsidP="003141F5">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w:t>
            </w:r>
          </w:p>
        </w:tc>
        <w:tc>
          <w:tcPr>
            <w:tcW w:w="1707" w:type="dxa"/>
            <w:tcBorders>
              <w:top w:val="nil"/>
              <w:left w:val="nil"/>
              <w:bottom w:val="single" w:sz="4" w:space="0" w:color="auto"/>
              <w:right w:val="single" w:sz="4" w:space="0" w:color="auto"/>
            </w:tcBorders>
            <w:shd w:val="clear" w:color="auto" w:fill="auto"/>
            <w:noWrap/>
            <w:vAlign w:val="center"/>
            <w:hideMark/>
          </w:tcPr>
          <w:p w:rsidR="00AA3129" w:rsidRPr="003141F5" w:rsidRDefault="00AA3129"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Athlone</w:t>
            </w:r>
          </w:p>
        </w:tc>
        <w:tc>
          <w:tcPr>
            <w:tcW w:w="992" w:type="dxa"/>
            <w:tcBorders>
              <w:top w:val="nil"/>
              <w:left w:val="nil"/>
              <w:bottom w:val="single" w:sz="4" w:space="0" w:color="auto"/>
              <w:right w:val="single" w:sz="4" w:space="0" w:color="auto"/>
            </w:tcBorders>
            <w:shd w:val="clear" w:color="auto" w:fill="auto"/>
            <w:noWrap/>
            <w:vAlign w:val="bottom"/>
            <w:hideMark/>
          </w:tcPr>
          <w:p w:rsidR="00AA3129" w:rsidRPr="003141F5" w:rsidRDefault="00AA3129" w:rsidP="003141F5">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AA3129" w:rsidRPr="003141F5" w:rsidRDefault="00AA3129" w:rsidP="00AA3129">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AA3129" w:rsidRPr="003141F5" w:rsidRDefault="00AA3129"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2231" w:type="dxa"/>
            <w:tcBorders>
              <w:top w:val="nil"/>
              <w:left w:val="nil"/>
              <w:bottom w:val="single" w:sz="4" w:space="0" w:color="auto"/>
              <w:right w:val="single" w:sz="4" w:space="0" w:color="auto"/>
            </w:tcBorders>
            <w:shd w:val="clear" w:color="auto" w:fill="auto"/>
            <w:noWrap/>
            <w:vAlign w:val="center"/>
            <w:hideMark/>
          </w:tcPr>
          <w:p w:rsidR="00AA3129" w:rsidRPr="003141F5" w:rsidRDefault="003141F5"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AA3129" w:rsidRPr="003141F5" w:rsidRDefault="003141F5"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AA3129" w:rsidRPr="003141F5" w:rsidRDefault="00C46C22" w:rsidP="00AA3129">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AA3129"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A3129" w:rsidRPr="003141F5" w:rsidRDefault="00AA3129" w:rsidP="003141F5">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w:t>
            </w:r>
          </w:p>
        </w:tc>
        <w:tc>
          <w:tcPr>
            <w:tcW w:w="1707" w:type="dxa"/>
            <w:tcBorders>
              <w:top w:val="nil"/>
              <w:left w:val="nil"/>
              <w:bottom w:val="single" w:sz="4" w:space="0" w:color="auto"/>
              <w:right w:val="single" w:sz="4" w:space="0" w:color="auto"/>
            </w:tcBorders>
            <w:shd w:val="clear" w:color="auto" w:fill="auto"/>
            <w:noWrap/>
            <w:vAlign w:val="center"/>
            <w:hideMark/>
          </w:tcPr>
          <w:p w:rsidR="00AA3129" w:rsidRPr="003141F5" w:rsidRDefault="00AA3129"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Atlantis</w:t>
            </w:r>
          </w:p>
        </w:tc>
        <w:tc>
          <w:tcPr>
            <w:tcW w:w="992" w:type="dxa"/>
            <w:tcBorders>
              <w:top w:val="nil"/>
              <w:left w:val="nil"/>
              <w:bottom w:val="single" w:sz="4" w:space="0" w:color="auto"/>
              <w:right w:val="single" w:sz="4" w:space="0" w:color="auto"/>
            </w:tcBorders>
            <w:shd w:val="clear" w:color="auto" w:fill="auto"/>
            <w:noWrap/>
            <w:vAlign w:val="bottom"/>
            <w:hideMark/>
          </w:tcPr>
          <w:p w:rsidR="00AA3129" w:rsidRPr="003141F5" w:rsidRDefault="00AA3129" w:rsidP="003141F5">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AA3129" w:rsidRPr="003141F5" w:rsidRDefault="00AA3129" w:rsidP="00AA3129">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AA3129" w:rsidRPr="003141F5" w:rsidRDefault="00AA3129"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Milnerton</w:t>
            </w:r>
          </w:p>
        </w:tc>
        <w:tc>
          <w:tcPr>
            <w:tcW w:w="2231" w:type="dxa"/>
            <w:tcBorders>
              <w:top w:val="nil"/>
              <w:left w:val="nil"/>
              <w:bottom w:val="single" w:sz="4" w:space="0" w:color="auto"/>
              <w:right w:val="single" w:sz="4" w:space="0" w:color="auto"/>
            </w:tcBorders>
            <w:shd w:val="clear" w:color="auto" w:fill="auto"/>
            <w:noWrap/>
            <w:vAlign w:val="center"/>
            <w:hideMark/>
          </w:tcPr>
          <w:p w:rsidR="00AA3129" w:rsidRPr="003141F5" w:rsidRDefault="003141F5"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AA3129" w:rsidRPr="003141F5" w:rsidRDefault="003141F5" w:rsidP="00AA3129">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AA3129" w:rsidRPr="003141F5" w:rsidRDefault="00C46C22" w:rsidP="00AA3129">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Belhar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Blue Downs</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Bishop Lavis</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Nyanga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5</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Bredasdorp</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Agulhas</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6</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Caledon</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Theewaterskloof</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 xml:space="preserve">CPF </w:t>
            </w:r>
            <w:r w:rsidR="000B3CAA">
              <w:rPr>
                <w:rFonts w:ascii="Century Gothic" w:eastAsia="Times New Roman" w:hAnsi="Century Gothic" w:cs="Times New Roman"/>
                <w:sz w:val="18"/>
                <w:szCs w:val="18"/>
                <w:lang w:eastAsia="en-ZA"/>
              </w:rPr>
              <w:t>dysfunctional. Reorganising in preparation for AGM</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7</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Camps Bay</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Town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0B3CAA"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8</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Conville</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George</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9</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Dagamaskop</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Da Gamaskop</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Mosselbay</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10</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De Doorns</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Worcester</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Winelands</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Breede Valley</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11</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Delft</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Blue Downs</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12</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Elands Bay</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Vredendal</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West Coast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Cederberg </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13</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Elsies River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Nyanga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14</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Graafwater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Vredendal</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West Coast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Cederberg </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15</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Grabouw</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Theewaterskloof</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16</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Harare</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Khayelitsha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17</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Klawer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Vredendal</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West Coast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Matzikama </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18</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Kleinvlei</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Blue Downs</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19</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Kuilsrivier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Blue Downs</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20</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Kwanokuthula</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Bitou</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21</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Langa</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Town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22</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Langebaan</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Vredenburg</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West Coast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Saldanabay</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23</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Lansdowne</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24</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Lentegeur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25</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Lingelethu-West</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Khayelitsha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26</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Lwandle</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Khayelitsha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27</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Malmesbury</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Milnerton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West Coast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Swartland </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28</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Manenberg</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Nyanga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29</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Mfuleni</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Blue Downs</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30</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31</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Mowbray</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Wynberg</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32</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Napier</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Agulhas</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33</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Nyanga</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Nyanga</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C46C22"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34</w:t>
            </w:r>
          </w:p>
        </w:tc>
        <w:tc>
          <w:tcPr>
            <w:tcW w:w="1707"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Pacaltsdorp</w:t>
            </w:r>
          </w:p>
        </w:tc>
        <w:tc>
          <w:tcPr>
            <w:tcW w:w="992" w:type="dxa"/>
            <w:tcBorders>
              <w:top w:val="nil"/>
              <w:left w:val="nil"/>
              <w:bottom w:val="single" w:sz="4" w:space="0" w:color="auto"/>
              <w:right w:val="single" w:sz="4" w:space="0" w:color="auto"/>
            </w:tcBorders>
            <w:shd w:val="clear" w:color="auto" w:fill="auto"/>
            <w:noWrap/>
            <w:vAlign w:val="bottom"/>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w:t>
            </w:r>
          </w:p>
        </w:tc>
        <w:tc>
          <w:tcPr>
            <w:tcW w:w="2231"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Eden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George</w:t>
            </w:r>
          </w:p>
        </w:tc>
        <w:tc>
          <w:tcPr>
            <w:tcW w:w="5670" w:type="dxa"/>
            <w:tcBorders>
              <w:top w:val="nil"/>
              <w:left w:val="nil"/>
              <w:bottom w:val="single" w:sz="4" w:space="0" w:color="auto"/>
              <w:right w:val="single" w:sz="4" w:space="0" w:color="auto"/>
            </w:tcBorders>
            <w:shd w:val="clear" w:color="auto" w:fill="auto"/>
            <w:noWrap/>
            <w:vAlign w:val="center"/>
            <w:hideMark/>
          </w:tcPr>
          <w:p w:rsidR="00C46C22" w:rsidRPr="003141F5" w:rsidRDefault="00C46C22" w:rsidP="00C46C22">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35</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Philippi</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8A659B">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 xml:space="preserve">CPF dysfunctional. </w:t>
            </w:r>
            <w:r w:rsidR="008A659B">
              <w:rPr>
                <w:rFonts w:ascii="Century Gothic" w:eastAsia="Times New Roman" w:hAnsi="Century Gothic" w:cs="Times New Roman"/>
                <w:sz w:val="18"/>
                <w:szCs w:val="18"/>
                <w:lang w:eastAsia="en-ZA"/>
              </w:rPr>
              <w:t>Currently reorganising.</w:t>
            </w:r>
          </w:p>
        </w:tc>
      </w:tr>
      <w:tr w:rsidR="000B3CAA"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36</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Ravensmead</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Blue Downs</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37</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Riviersonderend</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Theewaterskloof</w:t>
            </w:r>
          </w:p>
        </w:tc>
        <w:tc>
          <w:tcPr>
            <w:tcW w:w="5670"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8A659B"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A659B" w:rsidRPr="003141F5" w:rsidRDefault="008A659B" w:rsidP="000B3CAA">
            <w:pPr>
              <w:spacing w:after="0" w:line="240" w:lineRule="auto"/>
              <w:jc w:val="center"/>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38</w:t>
            </w:r>
          </w:p>
        </w:tc>
        <w:tc>
          <w:tcPr>
            <w:tcW w:w="1707" w:type="dxa"/>
            <w:tcBorders>
              <w:top w:val="nil"/>
              <w:left w:val="nil"/>
              <w:bottom w:val="single" w:sz="4" w:space="0" w:color="auto"/>
              <w:right w:val="single" w:sz="4" w:space="0" w:color="auto"/>
            </w:tcBorders>
            <w:shd w:val="clear" w:color="auto" w:fill="auto"/>
            <w:noWrap/>
            <w:vAlign w:val="center"/>
          </w:tcPr>
          <w:p w:rsidR="008A659B" w:rsidRPr="003141F5" w:rsidRDefault="008A659B"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Samora Machel</w:t>
            </w:r>
          </w:p>
        </w:tc>
        <w:tc>
          <w:tcPr>
            <w:tcW w:w="992" w:type="dxa"/>
            <w:tcBorders>
              <w:top w:val="nil"/>
              <w:left w:val="nil"/>
              <w:bottom w:val="single" w:sz="4" w:space="0" w:color="auto"/>
              <w:right w:val="single" w:sz="4" w:space="0" w:color="auto"/>
            </w:tcBorders>
            <w:shd w:val="clear" w:color="auto" w:fill="auto"/>
            <w:noWrap/>
            <w:vAlign w:val="bottom"/>
          </w:tcPr>
          <w:p w:rsidR="008A659B" w:rsidRPr="003141F5" w:rsidRDefault="008A659B" w:rsidP="000B3CAA">
            <w:pPr>
              <w:spacing w:after="0" w:line="240" w:lineRule="auto"/>
              <w:jc w:val="center"/>
              <w:rPr>
                <w:rFonts w:ascii="Century Gothic" w:eastAsia="Times New Roman" w:hAnsi="Century Gothic" w:cs="Times New Roman"/>
                <w:b/>
                <w:bCs/>
                <w:sz w:val="18"/>
                <w:szCs w:val="18"/>
                <w:lang w:eastAsia="en-ZA"/>
              </w:rPr>
            </w:pPr>
            <w:r>
              <w:rPr>
                <w:rFonts w:ascii="Century Gothic" w:eastAsia="Times New Roman" w:hAnsi="Century Gothic" w:cs="Times New Roman"/>
                <w:b/>
                <w:bCs/>
                <w:sz w:val="18"/>
                <w:szCs w:val="18"/>
                <w:lang w:eastAsia="en-ZA"/>
              </w:rPr>
              <w:t>R0.00</w:t>
            </w:r>
          </w:p>
        </w:tc>
        <w:tc>
          <w:tcPr>
            <w:tcW w:w="1276" w:type="dxa"/>
            <w:tcBorders>
              <w:top w:val="nil"/>
              <w:left w:val="nil"/>
              <w:bottom w:val="single" w:sz="4" w:space="0" w:color="auto"/>
              <w:right w:val="single" w:sz="4" w:space="0" w:color="auto"/>
            </w:tcBorders>
            <w:shd w:val="clear" w:color="auto" w:fill="auto"/>
            <w:noWrap/>
            <w:vAlign w:val="center"/>
          </w:tcPr>
          <w:p w:rsidR="008A659B" w:rsidRPr="003141F5" w:rsidRDefault="008A659B" w:rsidP="000B3CAA">
            <w:pPr>
              <w:spacing w:after="0" w:line="240" w:lineRule="auto"/>
              <w:jc w:val="center"/>
              <w:rPr>
                <w:rFonts w:ascii="Century Gothic" w:eastAsia="Times New Roman" w:hAnsi="Century Gothic" w:cs="Times New Roman"/>
                <w:b/>
                <w:bCs/>
                <w:sz w:val="18"/>
                <w:szCs w:val="18"/>
                <w:lang w:eastAsia="en-ZA"/>
              </w:rPr>
            </w:pPr>
            <w:r>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tcPr>
          <w:p w:rsidR="008A659B" w:rsidRPr="003141F5" w:rsidRDefault="008A659B"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Khayelitsha</w:t>
            </w:r>
          </w:p>
        </w:tc>
        <w:tc>
          <w:tcPr>
            <w:tcW w:w="2231" w:type="dxa"/>
            <w:tcBorders>
              <w:top w:val="nil"/>
              <w:left w:val="nil"/>
              <w:bottom w:val="single" w:sz="4" w:space="0" w:color="auto"/>
              <w:right w:val="single" w:sz="4" w:space="0" w:color="auto"/>
            </w:tcBorders>
            <w:shd w:val="clear" w:color="auto" w:fill="auto"/>
            <w:noWrap/>
            <w:vAlign w:val="center"/>
          </w:tcPr>
          <w:p w:rsidR="008A659B" w:rsidRPr="003141F5" w:rsidRDefault="008A659B"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City of Cape Town</w:t>
            </w:r>
          </w:p>
        </w:tc>
        <w:tc>
          <w:tcPr>
            <w:tcW w:w="1843" w:type="dxa"/>
            <w:tcBorders>
              <w:top w:val="nil"/>
              <w:left w:val="nil"/>
              <w:bottom w:val="single" w:sz="4" w:space="0" w:color="auto"/>
              <w:right w:val="single" w:sz="4" w:space="0" w:color="auto"/>
            </w:tcBorders>
            <w:shd w:val="clear" w:color="auto" w:fill="auto"/>
            <w:noWrap/>
            <w:vAlign w:val="center"/>
          </w:tcPr>
          <w:p w:rsidR="008A659B" w:rsidRPr="003141F5" w:rsidRDefault="008A659B"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City of Cape Town</w:t>
            </w:r>
          </w:p>
        </w:tc>
        <w:tc>
          <w:tcPr>
            <w:tcW w:w="5670" w:type="dxa"/>
            <w:tcBorders>
              <w:top w:val="nil"/>
              <w:left w:val="nil"/>
              <w:bottom w:val="single" w:sz="4" w:space="0" w:color="auto"/>
              <w:right w:val="single" w:sz="4" w:space="0" w:color="auto"/>
            </w:tcBorders>
            <w:shd w:val="clear" w:color="auto" w:fill="auto"/>
            <w:noWrap/>
            <w:vAlign w:val="center"/>
          </w:tcPr>
          <w:p w:rsidR="008A659B" w:rsidRDefault="008A659B" w:rsidP="008A659B">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New station. DoCS and Cluster organising to start a CPF.</w:t>
            </w:r>
          </w:p>
        </w:tc>
      </w:tr>
      <w:tr w:rsidR="000B3CAA"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38</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Sea Point</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Town</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0B3CAA"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39</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Strand</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Khayelitsha</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3141F5">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40</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Strandfontein</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Mitchells Plain</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Pr>
                <w:rFonts w:ascii="Century Gothic" w:eastAsia="Times New Roman" w:hAnsi="Century Gothic" w:cs="Times New Roman"/>
                <w:sz w:val="18"/>
                <w:szCs w:val="18"/>
                <w:lang w:eastAsia="en-ZA"/>
              </w:rPr>
              <w:t>CPF refused to sign the TPA with the Department.</w:t>
            </w:r>
          </w:p>
        </w:tc>
      </w:tr>
      <w:tr w:rsidR="000B3CAA" w:rsidRPr="003141F5" w:rsidTr="008A659B">
        <w:trPr>
          <w:trHeight w:val="3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41</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Struisbaai</w:t>
            </w:r>
          </w:p>
        </w:tc>
        <w:tc>
          <w:tcPr>
            <w:tcW w:w="992" w:type="dxa"/>
            <w:tcBorders>
              <w:top w:val="nil"/>
              <w:left w:val="nil"/>
              <w:bottom w:val="single" w:sz="4" w:space="0" w:color="auto"/>
              <w:right w:val="single" w:sz="4" w:space="0" w:color="auto"/>
            </w:tcBorders>
            <w:shd w:val="clear" w:color="auto" w:fill="auto"/>
            <w:noWrap/>
            <w:vAlign w:val="bottom"/>
          </w:tcPr>
          <w:p w:rsidR="000B3CAA" w:rsidRPr="003141F5" w:rsidRDefault="008A659B" w:rsidP="000B3CAA">
            <w:pPr>
              <w:spacing w:after="0" w:line="240" w:lineRule="auto"/>
              <w:jc w:val="center"/>
              <w:rPr>
                <w:rFonts w:ascii="Century Gothic" w:eastAsia="Times New Roman" w:hAnsi="Century Gothic" w:cs="Times New Roman"/>
                <w:b/>
                <w:bCs/>
                <w:sz w:val="18"/>
                <w:szCs w:val="18"/>
                <w:lang w:eastAsia="en-ZA"/>
              </w:rPr>
            </w:pPr>
            <w:r>
              <w:rPr>
                <w:rFonts w:ascii="Century Gothic" w:eastAsia="Times New Roman" w:hAnsi="Century Gothic" w:cs="Times New Roman"/>
                <w:b/>
                <w:bCs/>
                <w:sz w:val="18"/>
                <w:szCs w:val="18"/>
                <w:lang w:eastAsia="en-ZA"/>
              </w:rPr>
              <w:t>R0.00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Agulhas</w:t>
            </w:r>
          </w:p>
        </w:tc>
        <w:tc>
          <w:tcPr>
            <w:tcW w:w="5670" w:type="dxa"/>
            <w:tcBorders>
              <w:top w:val="nil"/>
              <w:left w:val="nil"/>
              <w:bottom w:val="single" w:sz="4" w:space="0" w:color="auto"/>
              <w:right w:val="single" w:sz="4" w:space="0" w:color="auto"/>
            </w:tcBorders>
            <w:shd w:val="clear" w:color="auto" w:fill="auto"/>
            <w:noWrap/>
            <w:hideMark/>
          </w:tcPr>
          <w:p w:rsidR="000B3CAA" w:rsidRDefault="000B3CAA" w:rsidP="000B3CAA">
            <w:r w:rsidRPr="00454A7A">
              <w:rPr>
                <w:rFonts w:ascii="Century Gothic" w:eastAsia="Times New Roman" w:hAnsi="Century Gothic" w:cs="Times New Roman"/>
                <w:sz w:val="18"/>
                <w:szCs w:val="18"/>
                <w:lang w:eastAsia="en-ZA"/>
              </w:rPr>
              <w:t>CPF only recently signed the TPA and therefore has not received any funding as yet.</w:t>
            </w:r>
          </w:p>
        </w:tc>
      </w:tr>
      <w:tr w:rsidR="008A659B" w:rsidRPr="003141F5" w:rsidTr="008A659B">
        <w:trPr>
          <w:trHeight w:val="462"/>
        </w:trPr>
        <w:tc>
          <w:tcPr>
            <w:tcW w:w="420" w:type="dxa"/>
            <w:tcBorders>
              <w:top w:val="nil"/>
              <w:left w:val="single" w:sz="4" w:space="0" w:color="auto"/>
              <w:bottom w:val="single" w:sz="4" w:space="0" w:color="auto"/>
              <w:right w:val="single" w:sz="4" w:space="0" w:color="auto"/>
            </w:tcBorders>
            <w:shd w:val="clear" w:color="auto" w:fill="auto"/>
            <w:noWrap/>
            <w:vAlign w:val="center"/>
          </w:tcPr>
          <w:p w:rsidR="008A659B" w:rsidRPr="003141F5" w:rsidRDefault="008A659B" w:rsidP="008A659B">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42</w:t>
            </w:r>
          </w:p>
        </w:tc>
        <w:tc>
          <w:tcPr>
            <w:tcW w:w="1707" w:type="dxa"/>
            <w:tcBorders>
              <w:top w:val="nil"/>
              <w:left w:val="nil"/>
              <w:bottom w:val="single" w:sz="4" w:space="0" w:color="auto"/>
              <w:right w:val="single" w:sz="4" w:space="0" w:color="auto"/>
            </w:tcBorders>
            <w:shd w:val="clear" w:color="auto" w:fill="auto"/>
            <w:noWrap/>
            <w:vAlign w:val="center"/>
          </w:tcPr>
          <w:p w:rsidR="008A659B" w:rsidRPr="003141F5" w:rsidRDefault="008A659B" w:rsidP="008A659B">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Table Bay Harbour</w:t>
            </w:r>
          </w:p>
        </w:tc>
        <w:tc>
          <w:tcPr>
            <w:tcW w:w="992" w:type="dxa"/>
            <w:tcBorders>
              <w:top w:val="nil"/>
              <w:left w:val="nil"/>
              <w:bottom w:val="single" w:sz="4" w:space="0" w:color="auto"/>
              <w:right w:val="single" w:sz="4" w:space="0" w:color="auto"/>
            </w:tcBorders>
            <w:shd w:val="clear" w:color="auto" w:fill="auto"/>
            <w:noWrap/>
            <w:vAlign w:val="bottom"/>
          </w:tcPr>
          <w:p w:rsidR="008A659B" w:rsidRPr="003141F5" w:rsidRDefault="008A659B" w:rsidP="008A659B">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tcPr>
          <w:p w:rsidR="008A659B" w:rsidRPr="003141F5" w:rsidRDefault="008A659B" w:rsidP="008A659B">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tcPr>
          <w:p w:rsidR="008A659B" w:rsidRPr="003141F5" w:rsidRDefault="008A659B" w:rsidP="008A659B">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Town</w:t>
            </w:r>
          </w:p>
        </w:tc>
        <w:tc>
          <w:tcPr>
            <w:tcW w:w="2231" w:type="dxa"/>
            <w:tcBorders>
              <w:top w:val="nil"/>
              <w:left w:val="nil"/>
              <w:bottom w:val="single" w:sz="4" w:space="0" w:color="auto"/>
              <w:right w:val="single" w:sz="4" w:space="0" w:color="auto"/>
            </w:tcBorders>
            <w:shd w:val="clear" w:color="auto" w:fill="auto"/>
            <w:noWrap/>
            <w:vAlign w:val="center"/>
          </w:tcPr>
          <w:p w:rsidR="008A659B" w:rsidRPr="003141F5" w:rsidRDefault="008A659B" w:rsidP="008A659B">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tcPr>
          <w:p w:rsidR="008A659B" w:rsidRPr="003141F5" w:rsidRDefault="008A659B" w:rsidP="008A659B">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tcPr>
          <w:p w:rsidR="008A659B" w:rsidRDefault="008A659B" w:rsidP="008A659B">
            <w:r w:rsidRPr="00454A7A">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C46C22">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43</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Villiersdorp</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Overberg Municipality</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Theewaterskloof</w:t>
            </w:r>
          </w:p>
        </w:tc>
        <w:tc>
          <w:tcPr>
            <w:tcW w:w="5670" w:type="dxa"/>
            <w:tcBorders>
              <w:top w:val="nil"/>
              <w:left w:val="nil"/>
              <w:bottom w:val="single" w:sz="4" w:space="0" w:color="auto"/>
              <w:right w:val="single" w:sz="4" w:space="0" w:color="auto"/>
            </w:tcBorders>
            <w:shd w:val="clear" w:color="auto" w:fill="auto"/>
            <w:noWrap/>
            <w:hideMark/>
          </w:tcPr>
          <w:p w:rsidR="000B3CAA" w:rsidRDefault="000B3CAA" w:rsidP="000B3CAA">
            <w:r w:rsidRPr="00454A7A">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C46C22">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44</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Woodstock</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Town</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hideMark/>
          </w:tcPr>
          <w:p w:rsidR="000B3CAA" w:rsidRDefault="000B3CAA" w:rsidP="000B3CAA">
            <w:r w:rsidRPr="00990050">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C46C22">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45</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Worcester</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Worcester</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Cape Winelands</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Breede Valley</w:t>
            </w:r>
          </w:p>
        </w:tc>
        <w:tc>
          <w:tcPr>
            <w:tcW w:w="5670" w:type="dxa"/>
            <w:tcBorders>
              <w:top w:val="nil"/>
              <w:left w:val="nil"/>
              <w:bottom w:val="single" w:sz="4" w:space="0" w:color="auto"/>
              <w:right w:val="single" w:sz="4" w:space="0" w:color="auto"/>
            </w:tcBorders>
            <w:shd w:val="clear" w:color="auto" w:fill="auto"/>
            <w:noWrap/>
            <w:hideMark/>
          </w:tcPr>
          <w:p w:rsidR="000B3CAA" w:rsidRDefault="000B3CAA" w:rsidP="000B3CAA">
            <w:r w:rsidRPr="00990050">
              <w:rPr>
                <w:rFonts w:ascii="Century Gothic" w:eastAsia="Times New Roman" w:hAnsi="Century Gothic" w:cs="Times New Roman"/>
                <w:sz w:val="18"/>
                <w:szCs w:val="18"/>
                <w:lang w:eastAsia="en-ZA"/>
              </w:rPr>
              <w:t>CPF only recently signed the TPA and therefore has not received any funding as yet.</w:t>
            </w:r>
          </w:p>
        </w:tc>
      </w:tr>
      <w:tr w:rsidR="000B3CAA" w:rsidRPr="003141F5" w:rsidTr="00C46C22">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46</w:t>
            </w:r>
          </w:p>
        </w:tc>
        <w:tc>
          <w:tcPr>
            <w:tcW w:w="1707"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Wynberg</w:t>
            </w:r>
          </w:p>
        </w:tc>
        <w:tc>
          <w:tcPr>
            <w:tcW w:w="992" w:type="dxa"/>
            <w:tcBorders>
              <w:top w:val="nil"/>
              <w:left w:val="nil"/>
              <w:bottom w:val="single" w:sz="4" w:space="0" w:color="auto"/>
              <w:right w:val="single" w:sz="4" w:space="0" w:color="auto"/>
            </w:tcBorders>
            <w:shd w:val="clear" w:color="auto" w:fill="auto"/>
            <w:noWrap/>
            <w:vAlign w:val="bottom"/>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R 0.00</w:t>
            </w:r>
          </w:p>
        </w:tc>
        <w:tc>
          <w:tcPr>
            <w:tcW w:w="127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jc w:val="center"/>
              <w:rPr>
                <w:rFonts w:ascii="Century Gothic" w:eastAsia="Times New Roman" w:hAnsi="Century Gothic" w:cs="Times New Roman"/>
                <w:b/>
                <w:bCs/>
                <w:sz w:val="18"/>
                <w:szCs w:val="18"/>
                <w:lang w:eastAsia="en-ZA"/>
              </w:rPr>
            </w:pPr>
            <w:r w:rsidRPr="003141F5">
              <w:rPr>
                <w:rFonts w:ascii="Century Gothic" w:eastAsia="Times New Roman" w:hAnsi="Century Gothic" w:cs="Times New Roman"/>
                <w:b/>
                <w:bCs/>
                <w:sz w:val="18"/>
                <w:szCs w:val="18"/>
                <w:lang w:eastAsia="en-ZA"/>
              </w:rPr>
              <w:t>0</w:t>
            </w:r>
          </w:p>
        </w:tc>
        <w:tc>
          <w:tcPr>
            <w:tcW w:w="1596"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Wynberg</w:t>
            </w:r>
          </w:p>
        </w:tc>
        <w:tc>
          <w:tcPr>
            <w:tcW w:w="2231"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1843" w:type="dxa"/>
            <w:tcBorders>
              <w:top w:val="nil"/>
              <w:left w:val="nil"/>
              <w:bottom w:val="single" w:sz="4" w:space="0" w:color="auto"/>
              <w:right w:val="single" w:sz="4" w:space="0" w:color="auto"/>
            </w:tcBorders>
            <w:shd w:val="clear" w:color="auto" w:fill="auto"/>
            <w:noWrap/>
            <w:vAlign w:val="center"/>
            <w:hideMark/>
          </w:tcPr>
          <w:p w:rsidR="000B3CAA" w:rsidRPr="003141F5" w:rsidRDefault="000B3CAA" w:rsidP="000B3CAA">
            <w:pPr>
              <w:spacing w:after="0" w:line="240" w:lineRule="auto"/>
              <w:rPr>
                <w:rFonts w:ascii="Century Gothic" w:eastAsia="Times New Roman" w:hAnsi="Century Gothic" w:cs="Times New Roman"/>
                <w:sz w:val="18"/>
                <w:szCs w:val="18"/>
                <w:lang w:eastAsia="en-ZA"/>
              </w:rPr>
            </w:pPr>
            <w:r w:rsidRPr="003141F5">
              <w:rPr>
                <w:rFonts w:ascii="Century Gothic" w:eastAsia="Times New Roman" w:hAnsi="Century Gothic" w:cs="Times New Roman"/>
                <w:sz w:val="18"/>
                <w:szCs w:val="18"/>
                <w:lang w:eastAsia="en-ZA"/>
              </w:rPr>
              <w:t xml:space="preserve">City </w:t>
            </w:r>
            <w:r>
              <w:rPr>
                <w:rFonts w:ascii="Century Gothic" w:eastAsia="Times New Roman" w:hAnsi="Century Gothic" w:cs="Times New Roman"/>
                <w:sz w:val="18"/>
                <w:szCs w:val="18"/>
                <w:lang w:eastAsia="en-ZA"/>
              </w:rPr>
              <w:t>of</w:t>
            </w:r>
            <w:r w:rsidRPr="003141F5">
              <w:rPr>
                <w:rFonts w:ascii="Century Gothic" w:eastAsia="Times New Roman" w:hAnsi="Century Gothic" w:cs="Times New Roman"/>
                <w:sz w:val="18"/>
                <w:szCs w:val="18"/>
                <w:lang w:eastAsia="en-ZA"/>
              </w:rPr>
              <w:t xml:space="preserve"> Cape Town</w:t>
            </w:r>
          </w:p>
        </w:tc>
        <w:tc>
          <w:tcPr>
            <w:tcW w:w="5670" w:type="dxa"/>
            <w:tcBorders>
              <w:top w:val="nil"/>
              <w:left w:val="nil"/>
              <w:bottom w:val="single" w:sz="4" w:space="0" w:color="auto"/>
              <w:right w:val="single" w:sz="4" w:space="0" w:color="auto"/>
            </w:tcBorders>
            <w:shd w:val="clear" w:color="auto" w:fill="auto"/>
            <w:noWrap/>
            <w:hideMark/>
          </w:tcPr>
          <w:p w:rsidR="000B3CAA" w:rsidRDefault="000B3CAA" w:rsidP="000B3CAA">
            <w:r w:rsidRPr="00990050">
              <w:rPr>
                <w:rFonts w:ascii="Century Gothic" w:eastAsia="Times New Roman" w:hAnsi="Century Gothic" w:cs="Times New Roman"/>
                <w:sz w:val="18"/>
                <w:szCs w:val="18"/>
                <w:lang w:eastAsia="en-ZA"/>
              </w:rPr>
              <w:t>CPF only recently signed the TPA and therefore has not received any funding as yet.</w:t>
            </w:r>
          </w:p>
        </w:tc>
      </w:tr>
    </w:tbl>
    <w:p w:rsidR="00F12C66" w:rsidRPr="00F12C66" w:rsidRDefault="00F12C66"/>
    <w:sectPr w:rsidR="00F12C66" w:rsidRPr="00F12C66" w:rsidSect="00C62A5C">
      <w:pgSz w:w="16838" w:h="11906" w:orient="landscape"/>
      <w:pgMar w:top="284" w:right="567"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A0" w:rsidRDefault="009F62A0" w:rsidP="000C5510">
      <w:pPr>
        <w:spacing w:after="0" w:line="240" w:lineRule="auto"/>
      </w:pPr>
      <w:r>
        <w:separator/>
      </w:r>
    </w:p>
  </w:endnote>
  <w:endnote w:type="continuationSeparator" w:id="0">
    <w:p w:rsidR="009F62A0" w:rsidRDefault="009F62A0" w:rsidP="000C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A0" w:rsidRDefault="009F62A0" w:rsidP="000C5510">
      <w:pPr>
        <w:spacing w:after="0" w:line="240" w:lineRule="auto"/>
      </w:pPr>
      <w:r>
        <w:separator/>
      </w:r>
    </w:p>
  </w:footnote>
  <w:footnote w:type="continuationSeparator" w:id="0">
    <w:p w:rsidR="009F62A0" w:rsidRDefault="009F62A0" w:rsidP="000C5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2FB2"/>
    <w:multiLevelType w:val="hybridMultilevel"/>
    <w:tmpl w:val="027CCE0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nsid w:val="710B7245"/>
    <w:multiLevelType w:val="hybridMultilevel"/>
    <w:tmpl w:val="1BF021DC"/>
    <w:lvl w:ilvl="0" w:tplc="B46888DE">
      <w:start w:val="1"/>
      <w:numFmt w:val="lowerLetter"/>
      <w:lvlText w:val="(%1)"/>
      <w:lvlJc w:val="left"/>
      <w:pPr>
        <w:ind w:left="1287" w:hanging="360"/>
      </w:pPr>
      <w:rPr>
        <w:rFonts w:eastAsia="Times New Roman"/>
        <w:sz w:val="24"/>
      </w:rPr>
    </w:lvl>
    <w:lvl w:ilvl="1" w:tplc="1C090019">
      <w:start w:val="1"/>
      <w:numFmt w:val="lowerLetter"/>
      <w:lvlText w:val="%2."/>
      <w:lvlJc w:val="left"/>
      <w:pPr>
        <w:ind w:left="2007" w:hanging="360"/>
      </w:pPr>
    </w:lvl>
    <w:lvl w:ilvl="2" w:tplc="1C09001B">
      <w:start w:val="1"/>
      <w:numFmt w:val="lowerRoman"/>
      <w:lvlText w:val="%3."/>
      <w:lvlJc w:val="right"/>
      <w:pPr>
        <w:ind w:left="2727" w:hanging="180"/>
      </w:pPr>
    </w:lvl>
    <w:lvl w:ilvl="3" w:tplc="1C09000F">
      <w:start w:val="1"/>
      <w:numFmt w:val="decimal"/>
      <w:lvlText w:val="%4."/>
      <w:lvlJc w:val="left"/>
      <w:pPr>
        <w:ind w:left="3447" w:hanging="360"/>
      </w:pPr>
    </w:lvl>
    <w:lvl w:ilvl="4" w:tplc="1C090019">
      <w:start w:val="1"/>
      <w:numFmt w:val="lowerLetter"/>
      <w:lvlText w:val="%5."/>
      <w:lvlJc w:val="left"/>
      <w:pPr>
        <w:ind w:left="4167" w:hanging="360"/>
      </w:pPr>
    </w:lvl>
    <w:lvl w:ilvl="5" w:tplc="1C09001B">
      <w:start w:val="1"/>
      <w:numFmt w:val="lowerRoman"/>
      <w:lvlText w:val="%6."/>
      <w:lvlJc w:val="right"/>
      <w:pPr>
        <w:ind w:left="4887" w:hanging="180"/>
      </w:pPr>
    </w:lvl>
    <w:lvl w:ilvl="6" w:tplc="1C09000F">
      <w:start w:val="1"/>
      <w:numFmt w:val="decimal"/>
      <w:lvlText w:val="%7."/>
      <w:lvlJc w:val="left"/>
      <w:pPr>
        <w:ind w:left="5607" w:hanging="360"/>
      </w:pPr>
    </w:lvl>
    <w:lvl w:ilvl="7" w:tplc="1C090019">
      <w:start w:val="1"/>
      <w:numFmt w:val="lowerLetter"/>
      <w:lvlText w:val="%8."/>
      <w:lvlJc w:val="left"/>
      <w:pPr>
        <w:ind w:left="6327" w:hanging="360"/>
      </w:pPr>
    </w:lvl>
    <w:lvl w:ilvl="8" w:tplc="1C0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66"/>
    <w:rsid w:val="000B3CAA"/>
    <w:rsid w:val="000C5510"/>
    <w:rsid w:val="0011462B"/>
    <w:rsid w:val="00167B44"/>
    <w:rsid w:val="003141F5"/>
    <w:rsid w:val="005516E6"/>
    <w:rsid w:val="006F7C2B"/>
    <w:rsid w:val="007C2F5B"/>
    <w:rsid w:val="007F17F2"/>
    <w:rsid w:val="00810736"/>
    <w:rsid w:val="008A659B"/>
    <w:rsid w:val="009F62A0"/>
    <w:rsid w:val="00AA3129"/>
    <w:rsid w:val="00AC7C5C"/>
    <w:rsid w:val="00C35CBC"/>
    <w:rsid w:val="00C46C22"/>
    <w:rsid w:val="00C62A5C"/>
    <w:rsid w:val="00CC376B"/>
    <w:rsid w:val="00D0353A"/>
    <w:rsid w:val="00DC1359"/>
    <w:rsid w:val="00DC5BEB"/>
    <w:rsid w:val="00E51198"/>
    <w:rsid w:val="00F12C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E167A-9DBF-4E47-B19A-61F081DD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
    <w:basedOn w:val="Normal"/>
    <w:uiPriority w:val="34"/>
    <w:qFormat/>
    <w:rsid w:val="00F12C66"/>
    <w:pPr>
      <w:spacing w:after="200" w:line="276" w:lineRule="auto"/>
      <w:ind w:left="720"/>
      <w:contextualSpacing/>
    </w:pPr>
    <w:rPr>
      <w:rFonts w:ascii="Calibri" w:hAnsi="Calibri" w:cs="Calibri"/>
    </w:rPr>
  </w:style>
  <w:style w:type="paragraph" w:styleId="Header">
    <w:name w:val="header"/>
    <w:basedOn w:val="Normal"/>
    <w:link w:val="HeaderChar"/>
    <w:uiPriority w:val="99"/>
    <w:unhideWhenUsed/>
    <w:rsid w:val="000C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10"/>
  </w:style>
  <w:style w:type="paragraph" w:styleId="Footer">
    <w:name w:val="footer"/>
    <w:basedOn w:val="Normal"/>
    <w:link w:val="FooterChar"/>
    <w:uiPriority w:val="99"/>
    <w:unhideWhenUsed/>
    <w:rsid w:val="000C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3508">
      <w:bodyDiv w:val="1"/>
      <w:marLeft w:val="0"/>
      <w:marRight w:val="0"/>
      <w:marTop w:val="0"/>
      <w:marBottom w:val="0"/>
      <w:divBdr>
        <w:top w:val="none" w:sz="0" w:space="0" w:color="auto"/>
        <w:left w:val="none" w:sz="0" w:space="0" w:color="auto"/>
        <w:bottom w:val="none" w:sz="0" w:space="0" w:color="auto"/>
        <w:right w:val="none" w:sz="0" w:space="0" w:color="auto"/>
      </w:divBdr>
    </w:div>
    <w:div w:id="299846036">
      <w:bodyDiv w:val="1"/>
      <w:marLeft w:val="0"/>
      <w:marRight w:val="0"/>
      <w:marTop w:val="0"/>
      <w:marBottom w:val="0"/>
      <w:divBdr>
        <w:top w:val="none" w:sz="0" w:space="0" w:color="auto"/>
        <w:left w:val="none" w:sz="0" w:space="0" w:color="auto"/>
        <w:bottom w:val="none" w:sz="0" w:space="0" w:color="auto"/>
        <w:right w:val="none" w:sz="0" w:space="0" w:color="auto"/>
      </w:divBdr>
    </w:div>
    <w:div w:id="799154563">
      <w:bodyDiv w:val="1"/>
      <w:marLeft w:val="0"/>
      <w:marRight w:val="0"/>
      <w:marTop w:val="0"/>
      <w:marBottom w:val="0"/>
      <w:divBdr>
        <w:top w:val="none" w:sz="0" w:space="0" w:color="auto"/>
        <w:left w:val="none" w:sz="0" w:space="0" w:color="auto"/>
        <w:bottom w:val="none" w:sz="0" w:space="0" w:color="auto"/>
        <w:right w:val="none" w:sz="0" w:space="0" w:color="auto"/>
      </w:divBdr>
    </w:div>
    <w:div w:id="1010958623">
      <w:bodyDiv w:val="1"/>
      <w:marLeft w:val="0"/>
      <w:marRight w:val="0"/>
      <w:marTop w:val="0"/>
      <w:marBottom w:val="0"/>
      <w:divBdr>
        <w:top w:val="none" w:sz="0" w:space="0" w:color="auto"/>
        <w:left w:val="none" w:sz="0" w:space="0" w:color="auto"/>
        <w:bottom w:val="none" w:sz="0" w:space="0" w:color="auto"/>
        <w:right w:val="none" w:sz="0" w:space="0" w:color="auto"/>
      </w:divBdr>
    </w:div>
    <w:div w:id="1058866859">
      <w:bodyDiv w:val="1"/>
      <w:marLeft w:val="0"/>
      <w:marRight w:val="0"/>
      <w:marTop w:val="0"/>
      <w:marBottom w:val="0"/>
      <w:divBdr>
        <w:top w:val="none" w:sz="0" w:space="0" w:color="auto"/>
        <w:left w:val="none" w:sz="0" w:space="0" w:color="auto"/>
        <w:bottom w:val="none" w:sz="0" w:space="0" w:color="auto"/>
        <w:right w:val="none" w:sz="0" w:space="0" w:color="auto"/>
      </w:divBdr>
    </w:div>
    <w:div w:id="1626621174">
      <w:bodyDiv w:val="1"/>
      <w:marLeft w:val="0"/>
      <w:marRight w:val="0"/>
      <w:marTop w:val="0"/>
      <w:marBottom w:val="0"/>
      <w:divBdr>
        <w:top w:val="none" w:sz="0" w:space="0" w:color="auto"/>
        <w:left w:val="none" w:sz="0" w:space="0" w:color="auto"/>
        <w:bottom w:val="none" w:sz="0" w:space="0" w:color="auto"/>
        <w:right w:val="none" w:sz="0" w:space="0" w:color="auto"/>
      </w:divBdr>
    </w:div>
    <w:div w:id="1960142812">
      <w:bodyDiv w:val="1"/>
      <w:marLeft w:val="0"/>
      <w:marRight w:val="0"/>
      <w:marTop w:val="0"/>
      <w:marBottom w:val="0"/>
      <w:divBdr>
        <w:top w:val="none" w:sz="0" w:space="0" w:color="auto"/>
        <w:left w:val="none" w:sz="0" w:space="0" w:color="auto"/>
        <w:bottom w:val="none" w:sz="0" w:space="0" w:color="auto"/>
        <w:right w:val="none" w:sz="0" w:space="0" w:color="auto"/>
      </w:divBdr>
    </w:div>
    <w:div w:id="21176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12969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Searle Engelbrecht</dc:creator>
  <cp:lastModifiedBy>Lynne Saayman</cp:lastModifiedBy>
  <cp:revision>2</cp:revision>
  <dcterms:created xsi:type="dcterms:W3CDTF">2019-07-26T08:27:00Z</dcterms:created>
  <dcterms:modified xsi:type="dcterms:W3CDTF">2019-07-26T08:27:00Z</dcterms:modified>
</cp:coreProperties>
</file>